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0A4996" w:rsidRDefault="000A4996" w:rsidP="00D0281C">
      <w:pPr>
        <w:spacing w:after="0" w:line="480" w:lineRule="auto"/>
        <w:contextualSpacing/>
        <w:jc w:val="center"/>
        <w:rPr>
          <w:rFonts w:ascii="Times New Roman" w:hAnsi="Times New Roman" w:cs="Times New Roman"/>
          <w:sz w:val="24"/>
          <w:szCs w:val="24"/>
        </w:rPr>
      </w:pPr>
    </w:p>
    <w:p w:rsidR="0082360B" w:rsidRPr="000A4996" w:rsidRDefault="0082360B" w:rsidP="00D0281C">
      <w:pPr>
        <w:spacing w:after="0" w:line="480" w:lineRule="auto"/>
        <w:contextualSpacing/>
        <w:jc w:val="center"/>
        <w:rPr>
          <w:rFonts w:ascii="Times New Roman" w:hAnsi="Times New Roman" w:cs="Times New Roman"/>
          <w:sz w:val="24"/>
          <w:szCs w:val="24"/>
        </w:rPr>
      </w:pPr>
      <w:bookmarkStart w:id="0" w:name="_GoBack"/>
      <w:r w:rsidRPr="000A4996">
        <w:rPr>
          <w:rFonts w:ascii="Times New Roman" w:hAnsi="Times New Roman" w:cs="Times New Roman"/>
          <w:sz w:val="24"/>
          <w:szCs w:val="24"/>
        </w:rPr>
        <w:t>Workplace and Diversity</w:t>
      </w:r>
    </w:p>
    <w:bookmarkEnd w:id="0"/>
    <w:p w:rsidR="0082360B" w:rsidRPr="000A4996" w:rsidRDefault="0082360B" w:rsidP="00D0281C">
      <w:pPr>
        <w:spacing w:after="0" w:line="480" w:lineRule="auto"/>
        <w:contextualSpacing/>
        <w:jc w:val="center"/>
        <w:rPr>
          <w:rFonts w:ascii="Times New Roman" w:hAnsi="Times New Roman" w:cs="Times New Roman"/>
          <w:sz w:val="24"/>
          <w:szCs w:val="24"/>
        </w:rPr>
      </w:pPr>
      <w:r w:rsidRPr="000A4996">
        <w:rPr>
          <w:rFonts w:ascii="Times New Roman" w:hAnsi="Times New Roman" w:cs="Times New Roman"/>
          <w:sz w:val="24"/>
          <w:szCs w:val="24"/>
        </w:rPr>
        <w:t>Student’s Name</w:t>
      </w:r>
    </w:p>
    <w:p w:rsidR="0082360B" w:rsidRPr="000A4996" w:rsidRDefault="0082360B" w:rsidP="00D0281C">
      <w:pPr>
        <w:spacing w:after="0" w:line="480" w:lineRule="auto"/>
        <w:contextualSpacing/>
        <w:jc w:val="center"/>
        <w:rPr>
          <w:rFonts w:ascii="Times New Roman" w:hAnsi="Times New Roman" w:cs="Times New Roman"/>
          <w:sz w:val="24"/>
          <w:szCs w:val="24"/>
        </w:rPr>
      </w:pPr>
      <w:r w:rsidRPr="000A4996">
        <w:rPr>
          <w:rFonts w:ascii="Times New Roman" w:hAnsi="Times New Roman" w:cs="Times New Roman"/>
          <w:sz w:val="24"/>
          <w:szCs w:val="24"/>
        </w:rPr>
        <w:t>Institution</w:t>
      </w:r>
    </w:p>
    <w:p w:rsidR="000A4996" w:rsidRPr="000A4996" w:rsidRDefault="000A4996" w:rsidP="00D0281C">
      <w:pPr>
        <w:spacing w:after="0" w:line="480" w:lineRule="auto"/>
        <w:contextualSpacing/>
        <w:rPr>
          <w:rFonts w:ascii="Times New Roman" w:hAnsi="Times New Roman" w:cs="Times New Roman"/>
          <w:sz w:val="24"/>
          <w:szCs w:val="24"/>
        </w:rPr>
      </w:pPr>
      <w:r w:rsidRPr="000A4996">
        <w:rPr>
          <w:rFonts w:ascii="Times New Roman" w:hAnsi="Times New Roman" w:cs="Times New Roman"/>
          <w:sz w:val="24"/>
          <w:szCs w:val="24"/>
        </w:rPr>
        <w:br w:type="page"/>
      </w:r>
    </w:p>
    <w:p w:rsidR="0082360B" w:rsidRPr="000A4996" w:rsidRDefault="0082360B" w:rsidP="00D0281C">
      <w:pPr>
        <w:spacing w:after="0" w:line="480" w:lineRule="auto"/>
        <w:contextualSpacing/>
        <w:jc w:val="center"/>
        <w:rPr>
          <w:rFonts w:ascii="Times New Roman" w:hAnsi="Times New Roman" w:cs="Times New Roman"/>
          <w:sz w:val="24"/>
          <w:szCs w:val="24"/>
        </w:rPr>
      </w:pPr>
      <w:r w:rsidRPr="000A4996">
        <w:rPr>
          <w:rFonts w:ascii="Times New Roman" w:hAnsi="Times New Roman" w:cs="Times New Roman"/>
          <w:sz w:val="24"/>
          <w:szCs w:val="24"/>
        </w:rPr>
        <w:lastRenderedPageBreak/>
        <w:t>Workplace and Diversity</w:t>
      </w:r>
    </w:p>
    <w:p w:rsidR="00D0281C"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Organizations that skillfully manage diversity in workplaces realize positive long-term benefits. Currently, diversity is a broad concept that goes beyond employees’ management to external stakeholders who have different opinion and preferences. On that note, a plan to address workplace diversity issues is essential in achieving a work environment free from harassment and miscommunication. Additionally, the rise in globalization upholds the relevance of the plan whose goal is to bridge the gap between people of different cultures through proper management. The plan further aims at achieving overall organization success through appropriate management of employees from diverse cultural backgrounds. In this regard, a strategy for implementing the recommendation is crafted in the plan as a significant goal towards embracing workplace diversity.</w:t>
      </w:r>
    </w:p>
    <w:p w:rsidR="00D0281C"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Inclusive leadership is a crucial strategy for addressing diversity in the workplace. According to Cletus et al. (2018), fostering a positive attitude of acceptance amongst the employees in a globalized setting is achievable through inclusive leadership. The ripple effect of such a scenario is the creation of a positive internal and external organizational brand image. Organizational administration should focus on promoting diversity among leaders through the creation of diversity metrics and behavioral standards. Scorecards can further be created to assess the progress of integrating effective diversity management into the organization. The scorecards define the firm’s recruitment policies and supplier diversity to mention a few. As a result, inclusive leaders will be held accountable for actions that deviate from the provided standard</w:t>
      </w:r>
      <w:r w:rsidR="00D0281C">
        <w:rPr>
          <w:rFonts w:ascii="Times New Roman" w:hAnsi="Times New Roman" w:cs="Times New Roman"/>
          <w:sz w:val="24"/>
          <w:szCs w:val="24"/>
        </w:rPr>
        <w:t>s.</w:t>
      </w:r>
    </w:p>
    <w:p w:rsidR="00D0281C"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Training of cross-cultural differences in organizations is an additional effective measure that fosters an inclusive workplace environment amongst employees (Patrick &amp; Kumar, 2012). Creation of a sense of value and belonging amongst the employees is a measure that addresses diversity issues such as harassment. Also, communication of diversity plans to the employees encourages staff participation towards the subject through an open door policy framework. The discussion between the managers and employees is an illustration of coupled inclusivity and collaboration that will foster equitable and respectful treatment in the firm (Shaban, 2016). Lastly, organizational managers should connect differences to create synergy as a measure to promoting different employee strengths.</w:t>
      </w:r>
    </w:p>
    <w:p w:rsidR="00D0281C"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The organization’s workforce is anticipated to pose the major challenge in the implementation of the diversity plan through attitudinal barriers. The challenge significantly prevents measures aimed at overcoming diversity issues to yield success. Attitudes such as ignorance, backlash, and prejudice will continue to inhibit the embracement of diverse cultures in the work environment (Patrick &amp; Kumar, 2012). Miscommunication due to language barriers is an additional factor that would compromise the effective implementation of the diversity plan. The employees and other important stakeholders affiliated to an organization are likely to have hailed from different geographical locations with different cultures including language. As a result, the implementation of strategies such as the open door policy would not effectively work due to inhibited mode of expression.</w:t>
      </w:r>
    </w:p>
    <w:p w:rsidR="00D0281C"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Organizations should continuously work towards countering the afore-mentioned challenges to achieve a competitive edge in the current market place. On that note, measures such as environmental scanning prior to implementation of the diverse workforce plan would adequately address the issues. The scanning should focus on factors such as the organizational location, and culture. An assessment of organizational culture is crucial in addressing anticipated attitudinal barriers amongst the employees in the organization. The evaluation will yield insights into the kind of environment an organization operates; as a result, anticipate the kind of employee attitudes expected. In this regard, pre-implementation training with influential speakers can be organized to address the issues before the plan is implemented. On a different note, an assessment of organizational location will give insights into language barriers which can be addressed through the use of visual communication and interpreters.</w:t>
      </w:r>
    </w:p>
    <w:p w:rsidR="00872C56" w:rsidRPr="000A4996" w:rsidRDefault="00872C56" w:rsidP="00D0281C">
      <w:pPr>
        <w:spacing w:after="0" w:line="480" w:lineRule="auto"/>
        <w:ind w:firstLine="720"/>
        <w:contextualSpacing/>
        <w:rPr>
          <w:rFonts w:ascii="Times New Roman" w:hAnsi="Times New Roman" w:cs="Times New Roman"/>
          <w:sz w:val="24"/>
          <w:szCs w:val="24"/>
        </w:rPr>
      </w:pPr>
      <w:r w:rsidRPr="000A4996">
        <w:rPr>
          <w:rFonts w:ascii="Times New Roman" w:hAnsi="Times New Roman" w:cs="Times New Roman"/>
          <w:sz w:val="24"/>
          <w:szCs w:val="24"/>
        </w:rPr>
        <w:t xml:space="preserve">The plan proposes affordable recommendations that will be derived from internal resources; at the same time, covers a broad audience in the proposed strategies. As a result, the plan’s probability of success is high as they take into account both the leaders and employees contribution towards achieving a diverse workforce. Concepts such as inclusive leadership and the use of scorecards target the managerial staff within the organization. By a different token, recommendations such as the use of the open door policy focus on employee contribution towards addressing the issue of diversity. Additionally, the challenges likely to be encountered during implementation are at a manageable level. </w:t>
      </w:r>
    </w:p>
    <w:p w:rsidR="000A4996" w:rsidRPr="000A4996" w:rsidRDefault="000A4996" w:rsidP="000A4996">
      <w:pPr>
        <w:spacing w:line="480" w:lineRule="auto"/>
        <w:rPr>
          <w:rFonts w:ascii="Times New Roman" w:hAnsi="Times New Roman" w:cs="Times New Roman"/>
          <w:sz w:val="24"/>
          <w:szCs w:val="24"/>
        </w:rPr>
      </w:pPr>
      <w:r w:rsidRPr="000A4996">
        <w:rPr>
          <w:rFonts w:ascii="Times New Roman" w:hAnsi="Times New Roman" w:cs="Times New Roman"/>
          <w:sz w:val="24"/>
          <w:szCs w:val="24"/>
        </w:rPr>
        <w:br w:type="page"/>
      </w:r>
    </w:p>
    <w:p w:rsidR="0082360B" w:rsidRPr="000A4996" w:rsidRDefault="0082360B" w:rsidP="000A4996">
      <w:pPr>
        <w:spacing w:line="480" w:lineRule="auto"/>
        <w:jc w:val="center"/>
        <w:rPr>
          <w:rFonts w:ascii="Times New Roman" w:hAnsi="Times New Roman" w:cs="Times New Roman"/>
          <w:sz w:val="24"/>
          <w:szCs w:val="24"/>
        </w:rPr>
      </w:pPr>
      <w:r w:rsidRPr="000A4996">
        <w:rPr>
          <w:rFonts w:ascii="Times New Roman" w:hAnsi="Times New Roman" w:cs="Times New Roman"/>
          <w:sz w:val="24"/>
          <w:szCs w:val="24"/>
        </w:rPr>
        <w:t>References</w:t>
      </w:r>
    </w:p>
    <w:p w:rsidR="0082360B" w:rsidRPr="000A4996" w:rsidRDefault="0082360B" w:rsidP="00D0281C">
      <w:pPr>
        <w:spacing w:after="0" w:line="480" w:lineRule="auto"/>
        <w:ind w:left="720" w:hanging="720"/>
        <w:contextualSpacing/>
        <w:rPr>
          <w:rFonts w:ascii="Times New Roman" w:hAnsi="Times New Roman" w:cs="Times New Roman"/>
          <w:sz w:val="24"/>
          <w:szCs w:val="24"/>
        </w:rPr>
      </w:pPr>
      <w:r w:rsidRPr="000A4996">
        <w:rPr>
          <w:rFonts w:ascii="Times New Roman" w:hAnsi="Times New Roman" w:cs="Times New Roman"/>
          <w:sz w:val="24"/>
          <w:szCs w:val="24"/>
        </w:rPr>
        <w:t>Cletus, H., Mahmood, A., Umar, A., &amp; Ibrahim D. (2018</w:t>
      </w:r>
      <w:r w:rsidR="00D0281C">
        <w:rPr>
          <w:rFonts w:ascii="Times New Roman" w:hAnsi="Times New Roman" w:cs="Times New Roman"/>
          <w:sz w:val="24"/>
          <w:szCs w:val="24"/>
        </w:rPr>
        <w:t xml:space="preserve">). Prospects and Challenges of </w:t>
      </w:r>
      <w:r w:rsidRPr="000A4996">
        <w:rPr>
          <w:rFonts w:ascii="Times New Roman" w:hAnsi="Times New Roman" w:cs="Times New Roman"/>
          <w:sz w:val="24"/>
          <w:szCs w:val="24"/>
        </w:rPr>
        <w:t xml:space="preserve">Workplace Diversity in Modern day Organizations: A critical Review. </w:t>
      </w:r>
      <w:r w:rsidRPr="000A4996">
        <w:rPr>
          <w:rFonts w:ascii="Times New Roman" w:hAnsi="Times New Roman" w:cs="Times New Roman"/>
          <w:i/>
          <w:sz w:val="24"/>
          <w:szCs w:val="24"/>
        </w:rPr>
        <w:t>Holistica.</w:t>
      </w:r>
      <w:r w:rsidR="00D0281C">
        <w:rPr>
          <w:rFonts w:ascii="Times New Roman" w:hAnsi="Times New Roman" w:cs="Times New Roman"/>
          <w:sz w:val="24"/>
          <w:szCs w:val="24"/>
        </w:rPr>
        <w:t xml:space="preserve"> 9(2), </w:t>
      </w:r>
      <w:r w:rsidRPr="000A4996">
        <w:rPr>
          <w:rFonts w:ascii="Times New Roman" w:hAnsi="Times New Roman" w:cs="Times New Roman"/>
          <w:sz w:val="24"/>
          <w:szCs w:val="24"/>
        </w:rPr>
        <w:t>35-52.</w:t>
      </w:r>
    </w:p>
    <w:p w:rsidR="0082360B" w:rsidRPr="000A4996" w:rsidRDefault="0082360B" w:rsidP="00D0281C">
      <w:pPr>
        <w:spacing w:after="0" w:line="480" w:lineRule="auto"/>
        <w:ind w:left="720" w:hanging="720"/>
        <w:contextualSpacing/>
        <w:rPr>
          <w:rFonts w:ascii="Times New Roman" w:hAnsi="Times New Roman" w:cs="Times New Roman"/>
          <w:i/>
          <w:sz w:val="24"/>
          <w:szCs w:val="24"/>
        </w:rPr>
      </w:pPr>
      <w:r w:rsidRPr="000A4996">
        <w:rPr>
          <w:rFonts w:ascii="Times New Roman" w:hAnsi="Times New Roman" w:cs="Times New Roman"/>
          <w:sz w:val="24"/>
          <w:szCs w:val="24"/>
        </w:rPr>
        <w:t xml:space="preserve">Patrick, H., &amp; Kumar, V. (2012). Managing Workplace Diversity: Issues and Challenges. </w:t>
      </w:r>
      <w:r w:rsidR="00D0281C">
        <w:rPr>
          <w:rFonts w:ascii="Times New Roman" w:hAnsi="Times New Roman" w:cs="Times New Roman"/>
          <w:i/>
          <w:sz w:val="24"/>
          <w:szCs w:val="24"/>
        </w:rPr>
        <w:t xml:space="preserve">Sage </w:t>
      </w:r>
      <w:r w:rsidRPr="000A4996">
        <w:rPr>
          <w:rFonts w:ascii="Times New Roman" w:hAnsi="Times New Roman" w:cs="Times New Roman"/>
          <w:i/>
          <w:sz w:val="24"/>
          <w:szCs w:val="24"/>
        </w:rPr>
        <w:t xml:space="preserve">Open. </w:t>
      </w:r>
      <w:r w:rsidRPr="000A4996">
        <w:rPr>
          <w:rFonts w:ascii="Times New Roman" w:hAnsi="Times New Roman" w:cs="Times New Roman"/>
          <w:sz w:val="24"/>
          <w:szCs w:val="24"/>
        </w:rPr>
        <w:t>2(2), 1-</w:t>
      </w:r>
      <w:r w:rsidRPr="000A4996">
        <w:rPr>
          <w:rFonts w:ascii="Times New Roman" w:hAnsi="Times New Roman" w:cs="Times New Roman"/>
          <w:sz w:val="24"/>
          <w:szCs w:val="24"/>
        </w:rPr>
        <w:tab/>
        <w:t>12</w:t>
      </w:r>
    </w:p>
    <w:p w:rsidR="0082360B" w:rsidRPr="000A4996" w:rsidRDefault="0082360B" w:rsidP="00D0281C">
      <w:pPr>
        <w:spacing w:after="0" w:line="480" w:lineRule="auto"/>
        <w:ind w:left="720" w:hanging="720"/>
        <w:contextualSpacing/>
        <w:rPr>
          <w:rFonts w:ascii="Times New Roman" w:hAnsi="Times New Roman" w:cs="Times New Roman"/>
          <w:sz w:val="24"/>
          <w:szCs w:val="24"/>
        </w:rPr>
      </w:pPr>
      <w:r w:rsidRPr="000A4996">
        <w:rPr>
          <w:rFonts w:ascii="Times New Roman" w:hAnsi="Times New Roman" w:cs="Times New Roman"/>
          <w:sz w:val="24"/>
          <w:szCs w:val="24"/>
        </w:rPr>
        <w:t>Shaban, A. (2016). Managing and Leading a Diverse Workforce:</w:t>
      </w:r>
      <w:r w:rsidR="00D0281C">
        <w:rPr>
          <w:rFonts w:ascii="Times New Roman" w:hAnsi="Times New Roman" w:cs="Times New Roman"/>
          <w:sz w:val="24"/>
          <w:szCs w:val="24"/>
        </w:rPr>
        <w:t xml:space="preserve"> One of the Main Challenges in </w:t>
      </w:r>
      <w:r w:rsidRPr="000A4996">
        <w:rPr>
          <w:rFonts w:ascii="Times New Roman" w:hAnsi="Times New Roman" w:cs="Times New Roman"/>
          <w:sz w:val="24"/>
          <w:szCs w:val="24"/>
        </w:rPr>
        <w:t xml:space="preserve">Management. </w:t>
      </w:r>
      <w:r w:rsidRPr="000A4996">
        <w:rPr>
          <w:rFonts w:ascii="Times New Roman" w:hAnsi="Times New Roman" w:cs="Times New Roman"/>
          <w:sz w:val="24"/>
          <w:szCs w:val="24"/>
        </w:rPr>
        <w:tab/>
      </w:r>
      <w:r w:rsidRPr="000A4996">
        <w:rPr>
          <w:rFonts w:ascii="Times New Roman" w:hAnsi="Times New Roman" w:cs="Times New Roman"/>
          <w:i/>
          <w:sz w:val="24"/>
          <w:szCs w:val="24"/>
        </w:rPr>
        <w:t xml:space="preserve">Procedia-Social and Behavioural Sciences. </w:t>
      </w:r>
      <w:r w:rsidRPr="000A4996">
        <w:rPr>
          <w:rFonts w:ascii="Times New Roman" w:hAnsi="Times New Roman" w:cs="Times New Roman"/>
          <w:sz w:val="24"/>
          <w:szCs w:val="24"/>
        </w:rPr>
        <w:t>230. 76-84.</w:t>
      </w:r>
    </w:p>
    <w:p w:rsidR="0082360B" w:rsidRPr="000A4996" w:rsidRDefault="0082360B" w:rsidP="000A4996">
      <w:pPr>
        <w:spacing w:line="480" w:lineRule="auto"/>
        <w:rPr>
          <w:rFonts w:ascii="Times New Roman" w:hAnsi="Times New Roman" w:cs="Times New Roman"/>
          <w:sz w:val="24"/>
          <w:szCs w:val="24"/>
        </w:rPr>
      </w:pPr>
    </w:p>
    <w:sectPr w:rsidR="0082360B" w:rsidRPr="000A4996" w:rsidSect="008236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C21" w:rsidRDefault="00586C21" w:rsidP="0082360B">
      <w:pPr>
        <w:spacing w:after="0" w:line="240" w:lineRule="auto"/>
      </w:pPr>
      <w:r>
        <w:separator/>
      </w:r>
    </w:p>
  </w:endnote>
  <w:endnote w:type="continuationSeparator" w:id="0">
    <w:p w:rsidR="00586C21" w:rsidRDefault="00586C21" w:rsidP="00823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C21" w:rsidRDefault="00586C21" w:rsidP="0082360B">
      <w:pPr>
        <w:spacing w:after="0" w:line="240" w:lineRule="auto"/>
      </w:pPr>
      <w:r>
        <w:separator/>
      </w:r>
    </w:p>
  </w:footnote>
  <w:footnote w:type="continuationSeparator" w:id="0">
    <w:p w:rsidR="00586C21" w:rsidRDefault="00586C21" w:rsidP="00823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0B" w:rsidRPr="0082360B" w:rsidRDefault="0082360B" w:rsidP="0082360B">
    <w:pPr>
      <w:pStyle w:val="Header"/>
      <w:jc w:val="right"/>
      <w:rPr>
        <w:rFonts w:ascii="Times New Roman" w:hAnsi="Times New Roman" w:cs="Times New Roman"/>
        <w:sz w:val="24"/>
        <w:szCs w:val="24"/>
      </w:rPr>
    </w:pPr>
    <w:r w:rsidRPr="0082360B">
      <w:rPr>
        <w:rFonts w:ascii="Times New Roman" w:hAnsi="Times New Roman" w:cs="Times New Roman"/>
        <w:sz w:val="24"/>
        <w:szCs w:val="24"/>
      </w:rPr>
      <w:t xml:space="preserve">WORKPLACE AND </w:t>
    </w:r>
    <w:r>
      <w:rPr>
        <w:rFonts w:ascii="Times New Roman" w:hAnsi="Times New Roman" w:cs="Times New Roman"/>
        <w:sz w:val="24"/>
        <w:szCs w:val="24"/>
      </w:rPr>
      <w:t>DI</w:t>
    </w:r>
    <w:r w:rsidRPr="0082360B">
      <w:rPr>
        <w:rFonts w:ascii="Times New Roman" w:hAnsi="Times New Roman" w:cs="Times New Roman"/>
        <w:sz w:val="24"/>
        <w:szCs w:val="24"/>
      </w:rPr>
      <w:t>VERSITY</w:t>
    </w:r>
    <w:r>
      <w:rPr>
        <w:rFonts w:ascii="Times New Roman" w:hAnsi="Times New Roman" w:cs="Times New Roman"/>
        <w:sz w:val="24"/>
        <w:szCs w:val="24"/>
      </w:rPr>
      <w:tab/>
    </w:r>
    <w:r w:rsidRPr="0082360B">
      <w:rPr>
        <w:rFonts w:ascii="Times New Roman" w:hAnsi="Times New Roman" w:cs="Times New Roman"/>
        <w:sz w:val="24"/>
        <w:szCs w:val="24"/>
      </w:rPr>
      <w:tab/>
    </w:r>
    <w:sdt>
      <w:sdtPr>
        <w:rPr>
          <w:rFonts w:ascii="Times New Roman" w:hAnsi="Times New Roman" w:cs="Times New Roman"/>
          <w:sz w:val="24"/>
          <w:szCs w:val="24"/>
        </w:rPr>
        <w:id w:val="-2118433919"/>
        <w:docPartObj>
          <w:docPartGallery w:val="Page Numbers (Top of Page)"/>
          <w:docPartUnique/>
        </w:docPartObj>
      </w:sdtPr>
      <w:sdtEndPr>
        <w:rPr>
          <w:noProof/>
        </w:rPr>
      </w:sdtEndPr>
      <w:sdtContent>
        <w:r w:rsidRPr="0082360B">
          <w:rPr>
            <w:rFonts w:ascii="Times New Roman" w:hAnsi="Times New Roman" w:cs="Times New Roman"/>
            <w:sz w:val="24"/>
            <w:szCs w:val="24"/>
          </w:rPr>
          <w:fldChar w:fldCharType="begin"/>
        </w:r>
        <w:r w:rsidRPr="0082360B">
          <w:rPr>
            <w:rFonts w:ascii="Times New Roman" w:hAnsi="Times New Roman" w:cs="Times New Roman"/>
            <w:sz w:val="24"/>
            <w:szCs w:val="24"/>
          </w:rPr>
          <w:instrText xml:space="preserve"> PAGE   \* MERGEFORMAT </w:instrText>
        </w:r>
        <w:r w:rsidRPr="0082360B">
          <w:rPr>
            <w:rFonts w:ascii="Times New Roman" w:hAnsi="Times New Roman" w:cs="Times New Roman"/>
            <w:sz w:val="24"/>
            <w:szCs w:val="24"/>
          </w:rPr>
          <w:fldChar w:fldCharType="separate"/>
        </w:r>
        <w:r w:rsidR="00D0281C">
          <w:rPr>
            <w:rFonts w:ascii="Times New Roman" w:hAnsi="Times New Roman" w:cs="Times New Roman"/>
            <w:noProof/>
            <w:sz w:val="24"/>
            <w:szCs w:val="24"/>
          </w:rPr>
          <w:t>2</w:t>
        </w:r>
        <w:r w:rsidRPr="0082360B">
          <w:rPr>
            <w:rFonts w:ascii="Times New Roman" w:hAnsi="Times New Roman" w:cs="Times New Roman"/>
            <w:noProof/>
            <w:sz w:val="24"/>
            <w:szCs w:val="24"/>
          </w:rPr>
          <w:fldChar w:fldCharType="end"/>
        </w:r>
      </w:sdtContent>
    </w:sdt>
  </w:p>
  <w:p w:rsidR="0082360B" w:rsidRPr="0082360B" w:rsidRDefault="0082360B" w:rsidP="008236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60B" w:rsidRPr="0082360B" w:rsidRDefault="0082360B" w:rsidP="0082360B">
    <w:pPr>
      <w:pStyle w:val="Header"/>
      <w:jc w:val="right"/>
      <w:rPr>
        <w:rFonts w:ascii="Times New Roman" w:hAnsi="Times New Roman" w:cs="Times New Roman"/>
        <w:sz w:val="24"/>
        <w:szCs w:val="24"/>
      </w:rPr>
    </w:pPr>
    <w:r w:rsidRPr="0082360B">
      <w:rPr>
        <w:rFonts w:ascii="Times New Roman" w:hAnsi="Times New Roman" w:cs="Times New Roman"/>
        <w:sz w:val="24"/>
        <w:szCs w:val="24"/>
      </w:rPr>
      <w:t xml:space="preserve">Running head: WORKPLACE AND </w:t>
    </w:r>
    <w:r>
      <w:rPr>
        <w:rFonts w:ascii="Times New Roman" w:hAnsi="Times New Roman" w:cs="Times New Roman"/>
        <w:sz w:val="24"/>
        <w:szCs w:val="24"/>
      </w:rPr>
      <w:t>DI</w:t>
    </w:r>
    <w:r w:rsidRPr="0082360B">
      <w:rPr>
        <w:rFonts w:ascii="Times New Roman" w:hAnsi="Times New Roman" w:cs="Times New Roman"/>
        <w:sz w:val="24"/>
        <w:szCs w:val="24"/>
      </w:rPr>
      <w:t>VERSITY</w:t>
    </w:r>
    <w:r w:rsidRPr="0082360B">
      <w:rPr>
        <w:rFonts w:ascii="Times New Roman" w:hAnsi="Times New Roman" w:cs="Times New Roman"/>
        <w:sz w:val="24"/>
        <w:szCs w:val="24"/>
      </w:rPr>
      <w:tab/>
    </w:r>
    <w:sdt>
      <w:sdtPr>
        <w:rPr>
          <w:rFonts w:ascii="Times New Roman" w:hAnsi="Times New Roman" w:cs="Times New Roman"/>
          <w:sz w:val="24"/>
          <w:szCs w:val="24"/>
        </w:rPr>
        <w:id w:val="934098004"/>
        <w:docPartObj>
          <w:docPartGallery w:val="Page Numbers (Top of Page)"/>
          <w:docPartUnique/>
        </w:docPartObj>
      </w:sdtPr>
      <w:sdtEndPr>
        <w:rPr>
          <w:noProof/>
        </w:rPr>
      </w:sdtEndPr>
      <w:sdtContent>
        <w:r w:rsidRPr="0082360B">
          <w:rPr>
            <w:rFonts w:ascii="Times New Roman" w:hAnsi="Times New Roman" w:cs="Times New Roman"/>
            <w:sz w:val="24"/>
            <w:szCs w:val="24"/>
          </w:rPr>
          <w:fldChar w:fldCharType="begin"/>
        </w:r>
        <w:r w:rsidRPr="0082360B">
          <w:rPr>
            <w:rFonts w:ascii="Times New Roman" w:hAnsi="Times New Roman" w:cs="Times New Roman"/>
            <w:sz w:val="24"/>
            <w:szCs w:val="24"/>
          </w:rPr>
          <w:instrText xml:space="preserve"> PAGE   \* MERGEFORMAT </w:instrText>
        </w:r>
        <w:r w:rsidRPr="0082360B">
          <w:rPr>
            <w:rFonts w:ascii="Times New Roman" w:hAnsi="Times New Roman" w:cs="Times New Roman"/>
            <w:sz w:val="24"/>
            <w:szCs w:val="24"/>
          </w:rPr>
          <w:fldChar w:fldCharType="separate"/>
        </w:r>
        <w:r w:rsidR="00586C21">
          <w:rPr>
            <w:rFonts w:ascii="Times New Roman" w:hAnsi="Times New Roman" w:cs="Times New Roman"/>
            <w:noProof/>
            <w:sz w:val="24"/>
            <w:szCs w:val="24"/>
          </w:rPr>
          <w:t>1</w:t>
        </w:r>
        <w:r w:rsidRPr="0082360B">
          <w:rPr>
            <w:rFonts w:ascii="Times New Roman" w:hAnsi="Times New Roman" w:cs="Times New Roman"/>
            <w:noProof/>
            <w:sz w:val="24"/>
            <w:szCs w:val="24"/>
          </w:rPr>
          <w:fldChar w:fldCharType="end"/>
        </w:r>
      </w:sdtContent>
    </w:sdt>
  </w:p>
  <w:p w:rsidR="0082360B" w:rsidRDefault="008236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0sDAzMzcxtrA0MjVW0lEKTi0uzszPAykwrAUANhkIDiwAAAA="/>
  </w:docVars>
  <w:rsids>
    <w:rsidRoot w:val="00F412E6"/>
    <w:rsid w:val="000000C6"/>
    <w:rsid w:val="0002156C"/>
    <w:rsid w:val="00034F22"/>
    <w:rsid w:val="000434F1"/>
    <w:rsid w:val="000558F3"/>
    <w:rsid w:val="000A4996"/>
    <w:rsid w:val="000A4A08"/>
    <w:rsid w:val="000E6725"/>
    <w:rsid w:val="000E6DA2"/>
    <w:rsid w:val="000F41A9"/>
    <w:rsid w:val="0014305F"/>
    <w:rsid w:val="00180469"/>
    <w:rsid w:val="001E009C"/>
    <w:rsid w:val="001F70FA"/>
    <w:rsid w:val="0026607B"/>
    <w:rsid w:val="0030055E"/>
    <w:rsid w:val="00332B2E"/>
    <w:rsid w:val="003477F1"/>
    <w:rsid w:val="003C75B3"/>
    <w:rsid w:val="003D5FCA"/>
    <w:rsid w:val="00463408"/>
    <w:rsid w:val="00496A7E"/>
    <w:rsid w:val="004A3C52"/>
    <w:rsid w:val="004D7FD2"/>
    <w:rsid w:val="00581B70"/>
    <w:rsid w:val="00586C21"/>
    <w:rsid w:val="005E7BA4"/>
    <w:rsid w:val="00633A0E"/>
    <w:rsid w:val="00670545"/>
    <w:rsid w:val="00696AB9"/>
    <w:rsid w:val="00723CA9"/>
    <w:rsid w:val="007578FA"/>
    <w:rsid w:val="00781ADF"/>
    <w:rsid w:val="007C57F5"/>
    <w:rsid w:val="0082360B"/>
    <w:rsid w:val="008271C2"/>
    <w:rsid w:val="00864A84"/>
    <w:rsid w:val="00867EFC"/>
    <w:rsid w:val="00872C56"/>
    <w:rsid w:val="00880EBD"/>
    <w:rsid w:val="00897450"/>
    <w:rsid w:val="00906135"/>
    <w:rsid w:val="00933E5B"/>
    <w:rsid w:val="00965845"/>
    <w:rsid w:val="009E5484"/>
    <w:rsid w:val="00A10FEE"/>
    <w:rsid w:val="00A2761A"/>
    <w:rsid w:val="00AD03E1"/>
    <w:rsid w:val="00B2754B"/>
    <w:rsid w:val="00B6131A"/>
    <w:rsid w:val="00B6450A"/>
    <w:rsid w:val="00B672C2"/>
    <w:rsid w:val="00B95128"/>
    <w:rsid w:val="00C11D3A"/>
    <w:rsid w:val="00C3161E"/>
    <w:rsid w:val="00CD6DA8"/>
    <w:rsid w:val="00CE3BE2"/>
    <w:rsid w:val="00D0281C"/>
    <w:rsid w:val="00D25B24"/>
    <w:rsid w:val="00D34AE2"/>
    <w:rsid w:val="00D53C37"/>
    <w:rsid w:val="00DE29D8"/>
    <w:rsid w:val="00E0686B"/>
    <w:rsid w:val="00E1322C"/>
    <w:rsid w:val="00E56885"/>
    <w:rsid w:val="00E870EA"/>
    <w:rsid w:val="00E93FE0"/>
    <w:rsid w:val="00EE6CA7"/>
    <w:rsid w:val="00F1149A"/>
    <w:rsid w:val="00F412E6"/>
    <w:rsid w:val="00F6060B"/>
    <w:rsid w:val="00F960DC"/>
    <w:rsid w:val="00FA1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0B"/>
  </w:style>
  <w:style w:type="paragraph" w:styleId="Footer">
    <w:name w:val="footer"/>
    <w:basedOn w:val="Normal"/>
    <w:link w:val="FooterChar"/>
    <w:uiPriority w:val="99"/>
    <w:unhideWhenUsed/>
    <w:rsid w:val="00823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0B"/>
  </w:style>
  <w:style w:type="paragraph" w:styleId="Footer">
    <w:name w:val="footer"/>
    <w:basedOn w:val="Normal"/>
    <w:link w:val="FooterChar"/>
    <w:uiPriority w:val="99"/>
    <w:unhideWhenUsed/>
    <w:rsid w:val="00823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2019-04-05T03:33:00Z</dcterms:created>
  <dcterms:modified xsi:type="dcterms:W3CDTF">2019-04-05T03:33:00Z</dcterms:modified>
</cp:coreProperties>
</file>